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themeColor="background1" w:val="FFFFFF"/>
          <w:kern w:val="2"/>
          <w:sz w:val="28"/>
          <w:szCs w:val="28"/>
        </w:rPr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5" descr="Описание: 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Описание: 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ab/>
      </w:r>
    </w:p>
    <w:p>
      <w:pPr>
        <w:pStyle w:val="Normal"/>
        <w:widowControl w:val="false"/>
        <w:suppressAutoHyphens w:val="true"/>
        <w:spacing w:lineRule="atLeast" w:line="100" w:before="0" w:after="0"/>
        <w:jc w:val="right"/>
        <w:rPr>
          <w:rFonts w:ascii="Times New Roman" w:hAnsi="Times New Roman" w:eastAsia="Times New Roman" w:cs="Tahoma"/>
          <w:b/>
          <w:color w:themeColor="background1" w:val="FFFFFF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ab/>
        <w:tab/>
        <w:tab/>
        <w:t xml:space="preserve">        </w:t>
      </w: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  <w:t xml:space="preserve">    </w:t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 xml:space="preserve">    </w:t>
      </w:r>
      <w:r>
        <w:rPr>
          <w:rFonts w:eastAsia="Times New Roman" w:cs="Tahoma" w:ascii="Times New Roman" w:hAnsi="Times New Roman"/>
          <w:b w:val="false"/>
          <w:bCs w:val="false"/>
          <w:color w:themeColor="background1" w:val="FFFFFF"/>
          <w:kern w:val="2"/>
          <w:sz w:val="28"/>
          <w:szCs w:val="28"/>
          <w:u w:val="none"/>
        </w:rPr>
        <w:t>ПРК</w:t>
      </w:r>
    </w:p>
    <w:p>
      <w:pPr>
        <w:pStyle w:val="Normal"/>
        <w:widowControl w:val="false"/>
        <w:suppressAutoHyphens w:val="true"/>
        <w:spacing w:lineRule="atLeast" w:line="100" w:before="0" w:after="0"/>
        <w:jc w:val="right"/>
        <w:rPr>
          <w:rFonts w:ascii="Times New Roman" w:hAnsi="Times New Roman" w:eastAsia="Times New Roman" w:cs="Tahoma"/>
          <w:b/>
          <w:color w:themeColor="background1" w:val="FFFFFF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themeColor="background1" w:val="FFFFFF"/>
          <w:kern w:val="2"/>
          <w:sz w:val="28"/>
          <w:szCs w:val="28"/>
        </w:rPr>
        <w:t>Т</w:t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Муниципальное образование городское поселение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АДМИНИСТРАЦИЯ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ГОРОДСКОГО ПОСЕЛЕНИЯ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54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Октябрьского района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Ханты-Мансийского автономного округа – Югры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4"/>
          <w:szCs w:val="24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ПОСТАНОВЛЕНИЕ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u w:val="single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«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19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»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декабря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2025 года                                                                                    №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352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u w:val="single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u w:val="single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Об утверждении программы (плана)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«</w:t>
      </w:r>
      <w:bookmarkStart w:id="0" w:name="_Hlk179361393"/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Профилактика рисков причинения вреда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(ущерба) охраняемым законом ценностям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при осуществлении муниципального контроля 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в сфере благоустройства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 xml:space="preserve"> на территории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муниципального образования городское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поселение Талинка на 2026 год</w:t>
      </w:r>
      <w:bookmarkEnd w:id="0"/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spacing w:lineRule="atLeast" w:line="100" w:before="0" w:after="0"/>
        <w:rPr>
          <w:rFonts w:ascii="Times New Roman" w:hAnsi="Times New Roman" w:eastAsia="Times New Roman" w:cs="Tahoma"/>
          <w:b/>
          <w:bCs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bCs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ind w:firstLine="708"/>
        <w:contextualSpacing/>
        <w:mirrorIndents/>
        <w:jc w:val="both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  <w:lang w:eastAsia="ru-RU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городского поселения Талинка от 17.09.2021 № 39 «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eastAsia="ru-RU"/>
        </w:rPr>
        <w:t>Об утверждении положения о муниципальном контроле в сфере благоустройства на территории городского поселения Талинка»:</w:t>
      </w:r>
    </w:p>
    <w:p>
      <w:pPr>
        <w:pStyle w:val="ListParagraph"/>
        <w:numPr>
          <w:ilvl w:val="0"/>
          <w:numId w:val="1"/>
        </w:numPr>
        <w:spacing w:lineRule="auto" w:line="240"/>
        <w:ind w:firstLine="708" w:left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fa-IR" w:bidi="fa-IR"/>
        </w:rPr>
        <w:t>Утвердить программу (план) «Профилактика рисков причинения вреда (ущерба) охраняемым законом ценностям при осуществлении муниципального контроля  в сфере благоустройства на территории муниципального образования городское поселение Талинка на 2026 год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/>
        <w:ind w:firstLine="708" w:left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eastAsia="Calibri" w:cs="Times New Roman" w:ascii="Times New Roman" w:hAnsi="Times New Roman"/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района».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       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Глава городского поселения Талинка                                        </w:t>
      </w:r>
      <w:r>
        <w:rPr>
          <w:rFonts w:cs="Tahoma" w:ascii="Times New Roman" w:hAnsi="Times New Roman"/>
          <w:color w:val="000000"/>
          <w:kern w:val="2"/>
          <w:sz w:val="26"/>
          <w:szCs w:val="26"/>
        </w:rPr>
        <w:t>А.В. Останин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6096"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 xml:space="preserve">Приложение к постановлению администрации городского поселения Талинка №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352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left="609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19 декабря 2025 года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Программа профилактики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рисков причинения вреда (ущерба) охраняемым законом ценностям по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муниципальному контролю в сфере благоустройства на 2026 год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Программа профилактики рисков причинения вреда (ущерба) охраняемым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законом ценностям в сфере муниципального контроля по благоустройству на территории городского поселения Талинка (далее – программа профилактики) на 2025 год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Профилактика рисков причинения вреда (ущерба) охраняемым законом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ценностям проводится в рамках осуществления муниципального контроля сфере благоустройства.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Программа профилактики реализуется в 2026 году и содержит информацию о текущем состоянии осуществления муниципального контроля сфере благоустройства, перечень профилактических мероприятий на 2026 год.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Настоящая Программа разработана и подлежит исполнению администрацией городского поселения Талинка (далее по тексту – администрация).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Раздел 1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1.1. Муниципальный контроля сфере благоустройства осуществляется заведующим сектором отдела градостроительства и жизнеобеспечения Администрации муниципального образования городское поселение Талинка.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1.2. Предметом муниципального контроля является соблюдение контролируемыми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лицами обязательных требований, установленных Правилами благоустройства 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содержания территории муниципального образования городское поселение Талинка.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1.3. Сведения о проведенных в 2025 году мероприятиях по профилактике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нарушений обязательных требований: на официальном сайте муниципального образования городское поселение Талинка размещены перечни нормативных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правовых актов, содержащих обязательные требования, соблюдение которых оценивается при осуществлении муниципального контроля сфере благоустройства, а также тезисы данных правовых актов. Перечни нормативных правовых актов и тексты этих актов поддерживаются в актуальном состоянии.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На постоянной основе осуществляется прием и консультации граждан и юридических лиц по вопросам соблюдения обязательный требований. 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 С целью решения данных проблем Администрация 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городское поселение Талинка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требований.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Раздел 2 Цели и задачи реализации программы профилактики рисков причинения вреда (ущерба) охраняемым законом ценностям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2.1. Целями профилактической работы являются: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- предупреждение нарушений контролируемыми лицами обязательных требований,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установленных законодательством;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- устранение причин, факторов и условий, способствующих нарушениям обязательных требований, установленных законодательством;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- повышение прозрачности системы муниципального контроля и эффективности осуществления контрольно-надзорной деятельности.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2.2. Основными задачами профилактической работы являются: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- выявление причин, факторов и условий, способствующих нарушениям обязательных требований, установленных законодательством;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-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 xml:space="preserve">- 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Раздел 3 Перечень профилактических мероприятий, сроки (периодичность)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из проведения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3.1. При осуществлении муниципального контроля проводятся следующие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профилактические мероприятия: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1) информирование;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2) обобщение правоприменительной практики;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3) объявление предостережения о недопустимости нарушения обязательных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требований;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4) консультирование;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5) профилактический визит.</w:t>
      </w:r>
    </w:p>
    <w:p>
      <w:pPr>
        <w:pStyle w:val="Normal"/>
        <w:spacing w:lineRule="auto" w:line="223"/>
        <w:rPr>
          <w:rFonts w:ascii="Times New Roman" w:hAnsi="Times New Roman" w:eastAsia="Arial"/>
          <w:bCs/>
          <w:sz w:val="28"/>
          <w:szCs w:val="28"/>
        </w:rPr>
      </w:pPr>
      <w:r>
        <w:rPr>
          <w:rFonts w:eastAsia="Arial" w:ascii="Times New Roman" w:hAnsi="Times New Roman"/>
          <w:bCs/>
          <w:sz w:val="28"/>
          <w:szCs w:val="28"/>
        </w:rPr>
      </w:r>
    </w:p>
    <w:tbl>
      <w:tblPr>
        <w:tblStyle w:val="a5"/>
        <w:tblW w:w="1049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3"/>
        <w:gridCol w:w="8117"/>
        <w:gridCol w:w="1701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№№  </w:t>
            </w: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Срок исполнения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Размещение на официальном сайте администрации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городского поселения Талинка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сети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«Интернет» перечня нормативных правовых актов или их отдельных частей, содержащих обязательные требования,   оценка соблюдения которых является 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Информирование субъектов, в отношении которых осуществляется муниципальный контроль 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а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65" w:before="0" w:after="0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Рассмотрение жалоб (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811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 государственном контроле (надзоре) и муниципальном контроле в Российской Федерации»,   если   иной   порядок   не   установлен федеральным законом.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результатам внеплановых проверок 2 раза в год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контроля на </w:t>
            </w:r>
            <w:r>
              <w:rPr>
                <w:rFonts w:eastAsia="Times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2026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год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 квартал</w:t>
            </w:r>
          </w:p>
        </w:tc>
      </w:tr>
    </w:tbl>
    <w:p>
      <w:pPr>
        <w:pStyle w:val="Normal"/>
        <w:spacing w:lineRule="atLeast" w:line="240" w:before="0" w:after="20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Раздел 4 Показатели результативности и эффективности программы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1A1A1A"/>
          <w:sz w:val="26"/>
          <w:szCs w:val="26"/>
          <w:lang w:eastAsia="ru-RU"/>
        </w:rPr>
        <w:t>профилактики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4.1. Для оценки мероприятий по профилактике нарушений и в целом Программы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профилактики нарушений по итогам календарного года, с учетом достижения целей Программы профилактики нарушений обязательных требований соблюдение которых оценивается при проведении муниципального контроля устанавливаются следующие доля профилактических мероприятий в объеме контрольных мероприятий, %; доля выявленных нарушений обязательных требований в объеме общего количества контрольных мероприятий, %.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4.2. Отчетным периодом для определения значений показателей является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  <w:t>календарный год. 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>
      <w:pPr>
        <w:pStyle w:val="Normal"/>
        <w:spacing w:lineRule="atLeast" w:line="24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68" w:hanging="9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1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8692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b637f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c450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a640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86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24a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5">
    <w:name w:val="Table Grid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LibreOffice/25.2.3.2$Linux_X86_64 LibreOffice_project/520$Build-2</Application>
  <AppVersion>15.0000</AppVersion>
  <Pages>5</Pages>
  <Words>1104</Words>
  <Characters>8838</Characters>
  <CharactersWithSpaces>10100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2023-04-12T11:47:00Z</dcterms:created>
  <dc:creator>Ольга А. Снидкова</dc:creator>
  <dc:description/>
  <dc:language>ru-RU</dc:language>
  <cp:lastModifiedBy/>
  <cp:lastPrinted>2025-12-19T15:02:39Z</cp:lastPrinted>
  <dcterms:modified xsi:type="dcterms:W3CDTF">2025-12-19T15:02:48Z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